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inorEastAsia" w:hAnsiTheme="minorEastAsia" w:eastAsiaTheme="minorEastAsia"/>
          <w:b/>
          <w:bCs/>
          <w:kern w:val="0"/>
          <w:sz w:val="28"/>
          <w:szCs w:val="28"/>
          <w:lang w:eastAsia="zh-CN"/>
        </w:rPr>
      </w:pPr>
      <w:r>
        <w:rPr>
          <w:rFonts w:hint="eastAsia" w:asciiTheme="minorEastAsia" w:hAnsiTheme="minorEastAsia" w:eastAsiaTheme="minorEastAsia"/>
          <w:b/>
          <w:bCs/>
          <w:kern w:val="0"/>
          <w:sz w:val="28"/>
          <w:szCs w:val="28"/>
          <w:lang w:eastAsia="zh-CN"/>
        </w:rPr>
        <w:t>待结项一览表</w:t>
      </w:r>
    </w:p>
    <w:p>
      <w:pPr>
        <w:widowControl/>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lang w:eastAsia="zh-CN"/>
        </w:rPr>
        <w:t>）青年项目</w:t>
      </w:r>
    </w:p>
    <w:tbl>
      <w:tblPr>
        <w:tblStyle w:val="2"/>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07"/>
        <w:gridCol w:w="1253"/>
        <w:gridCol w:w="132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1"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负责人</w:t>
            </w:r>
          </w:p>
        </w:tc>
        <w:tc>
          <w:tcPr>
            <w:tcW w:w="1804"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bookmarkStart w:id="0" w:name="_GoBack"/>
            <w:bookmarkEnd w:id="0"/>
          </w:p>
        </w:tc>
        <w:tc>
          <w:tcPr>
            <w:tcW w:w="751"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所在部门</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立项编号</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刘飞</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多模态智能人机交互助餐机器人研发</w:t>
            </w:r>
          </w:p>
        </w:tc>
        <w:tc>
          <w:tcPr>
            <w:tcW w:w="751" w:type="pct"/>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智能制造与控制工程学院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QD01</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徐峥</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基于群智感知的突发事件全息表达方法研究</w:t>
            </w:r>
          </w:p>
        </w:tc>
        <w:tc>
          <w:tcPr>
            <w:tcW w:w="751" w:type="pct"/>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计算机与信息工程学院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QD02</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孟宪凯</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基于强化学习的知识图谱推理技术研究</w:t>
            </w:r>
          </w:p>
        </w:tc>
        <w:tc>
          <w:tcPr>
            <w:tcW w:w="751" w:type="pct"/>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计算机与信息工程学院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QD03</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FF0000"/>
                <w:kern w:val="0"/>
                <w:sz w:val="22"/>
                <w:lang w:bidi="ar"/>
              </w:rPr>
              <w:t>孙德立</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镍催化合成手性醇衍生物及镍的回收研究</w:t>
            </w:r>
          </w:p>
        </w:tc>
        <w:tc>
          <w:tcPr>
            <w:tcW w:w="751" w:type="pct"/>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资源与环境工程学院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QD04</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李可</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多粒子纠缠态制备</w:t>
            </w:r>
          </w:p>
        </w:tc>
        <w:tc>
          <w:tcPr>
            <w:tcW w:w="751" w:type="pct"/>
            <w:shd w:val="clear" w:color="auto" w:fill="auto"/>
            <w:vAlign w:val="center"/>
          </w:tcPr>
          <w:p>
            <w:pPr>
              <w:widowControl/>
              <w:jc w:val="center"/>
              <w:rPr>
                <w:rFonts w:hint="eastAsia" w:asciiTheme="minorEastAsia" w:hAnsiTheme="minorEastAsia" w:eastAsiaTheme="minorEastAsia"/>
                <w:color w:val="000000"/>
                <w:kern w:val="0"/>
                <w:szCs w:val="21"/>
                <w:lang w:eastAsia="zh-CN"/>
              </w:rPr>
            </w:pPr>
            <w:r>
              <w:rPr>
                <w:rFonts w:hint="eastAsia" w:asciiTheme="minorEastAsia" w:hAnsiTheme="minorEastAsia" w:eastAsiaTheme="minorEastAsia"/>
                <w:color w:val="000000"/>
                <w:kern w:val="0"/>
                <w:szCs w:val="21"/>
                <w:lang w:eastAsia="zh-CN"/>
              </w:rPr>
              <w:t>数理与统计学院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w:t>
            </w:r>
            <w:r>
              <w:rPr>
                <w:rFonts w:hint="eastAsia" w:ascii="Times New Roman" w:hAnsi="Times New Roman"/>
                <w:color w:val="000000"/>
                <w:kern w:val="0"/>
                <w:szCs w:val="21"/>
              </w:rPr>
              <w:t>5</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孙健</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对多轨道关联体系中轨道间跃迁诱导的洪德金属现象的研究</w:t>
            </w:r>
          </w:p>
        </w:tc>
        <w:tc>
          <w:tcPr>
            <w:tcW w:w="751" w:type="pct"/>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lang w:eastAsia="zh-CN"/>
              </w:rPr>
              <w:t>数理与统计学院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w:t>
            </w:r>
            <w:r>
              <w:rPr>
                <w:rFonts w:hint="eastAsia" w:ascii="Times New Roman" w:hAnsi="Times New Roman"/>
                <w:color w:val="000000"/>
                <w:kern w:val="0"/>
                <w:szCs w:val="21"/>
              </w:rPr>
              <w:t>6</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FF0000"/>
                <w:kern w:val="0"/>
                <w:sz w:val="22"/>
                <w:lang w:bidi="ar"/>
              </w:rPr>
              <w:t>朱金悦</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高质量发展视阈下旅游主客互动对居民地方公民行为的作用机理研究：心理所有权视角</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经济与管理学院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w:t>
            </w:r>
            <w:r>
              <w:rPr>
                <w:rFonts w:hint="eastAsia" w:ascii="Times New Roman" w:hAnsi="Times New Roman"/>
                <w:color w:val="000000"/>
                <w:kern w:val="0"/>
                <w:szCs w:val="21"/>
              </w:rPr>
              <w:t>7</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张冉冉</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基于博弈论的绿色供应链合作契约机制研究</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经济与管理学院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w:t>
            </w:r>
            <w:r>
              <w:rPr>
                <w:rFonts w:hint="eastAsia" w:ascii="Times New Roman" w:hAnsi="Times New Roman"/>
                <w:color w:val="000000"/>
                <w:kern w:val="0"/>
                <w:szCs w:val="21"/>
              </w:rPr>
              <w:t>8</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cs="等线" w:asciiTheme="minorEastAsia" w:hAnsiTheme="minorEastAsia" w:eastAsiaTheme="minorEastAsia"/>
                <w:color w:val="000000"/>
                <w:kern w:val="0"/>
                <w:sz w:val="22"/>
                <w:lang w:bidi="ar"/>
              </w:rPr>
            </w:pPr>
            <w:r>
              <w:rPr>
                <w:rFonts w:hint="eastAsia" w:cs="等线" w:asciiTheme="minorEastAsia" w:hAnsiTheme="minorEastAsia" w:eastAsiaTheme="minorEastAsia"/>
                <w:color w:val="000000"/>
                <w:kern w:val="0"/>
                <w:sz w:val="22"/>
                <w:lang w:bidi="ar"/>
              </w:rPr>
              <w:t>何晓璐</w:t>
            </w:r>
          </w:p>
        </w:tc>
        <w:tc>
          <w:tcPr>
            <w:tcW w:w="1804" w:type="pct"/>
            <w:shd w:val="clear" w:color="auto" w:fill="auto"/>
            <w:vAlign w:val="center"/>
          </w:tcPr>
          <w:p>
            <w:pPr>
              <w:widowControl/>
              <w:jc w:val="left"/>
              <w:textAlignment w:val="center"/>
              <w:rPr>
                <w:rFonts w:cs="等线" w:asciiTheme="minorEastAsia" w:hAnsiTheme="minorEastAsia" w:eastAsiaTheme="minorEastAsia"/>
                <w:color w:val="000000"/>
                <w:kern w:val="0"/>
                <w:sz w:val="22"/>
                <w:lang w:bidi="ar"/>
              </w:rPr>
            </w:pPr>
            <w:r>
              <w:rPr>
                <w:rFonts w:hint="eastAsia" w:cs="等线" w:asciiTheme="minorEastAsia" w:hAnsiTheme="minorEastAsia" w:eastAsiaTheme="minorEastAsia"/>
                <w:color w:val="000000"/>
                <w:kern w:val="0"/>
                <w:sz w:val="22"/>
                <w:lang w:bidi="ar"/>
              </w:rPr>
              <w:t>交流性语言的形式表征在对外汉语教学中的运用</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kern w:val="0"/>
                <w:sz w:val="22"/>
                <w:lang w:bidi="ar"/>
              </w:rPr>
            </w:pPr>
            <w:r>
              <w:rPr>
                <w:rFonts w:hint="eastAsia" w:asciiTheme="minorEastAsia" w:hAnsiTheme="minorEastAsia" w:eastAsiaTheme="minorEastAsia"/>
                <w:color w:val="000000"/>
                <w:kern w:val="0"/>
                <w:szCs w:val="21"/>
              </w:rPr>
              <w:t>国际交流学院</w:t>
            </w:r>
            <w:r>
              <w:rPr>
                <w:rFonts w:hint="eastAsia" w:cs="等线" w:asciiTheme="minorEastAsia" w:hAnsiTheme="minorEastAsia" w:eastAsiaTheme="minorEastAsia"/>
                <w:color w:val="000000"/>
                <w:kern w:val="0"/>
                <w:sz w:val="22"/>
                <w:lang w:bidi="ar"/>
              </w:rPr>
              <w:t xml:space="preserve"> </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QD0</w:t>
            </w:r>
            <w:r>
              <w:rPr>
                <w:rFonts w:hint="eastAsia" w:ascii="Times New Roman" w:hAnsi="Times New Roman"/>
                <w:color w:val="000000"/>
                <w:kern w:val="0"/>
                <w:szCs w:val="21"/>
              </w:rPr>
              <w:t>9</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孙子怡</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西方国家共产党对中国共产党的认知演变研究（1949-2021）</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马克思主义学院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10</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FF0000"/>
                <w:kern w:val="0"/>
                <w:szCs w:val="21"/>
              </w:rPr>
            </w:pPr>
            <w:r>
              <w:rPr>
                <w:rFonts w:hint="eastAsia" w:cs="等线" w:asciiTheme="minorEastAsia" w:hAnsiTheme="minorEastAsia" w:eastAsiaTheme="minorEastAsia"/>
                <w:color w:val="FF0000"/>
                <w:kern w:val="0"/>
                <w:sz w:val="22"/>
                <w:lang w:bidi="ar"/>
              </w:rPr>
              <w:t>祝业亮</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习近平中国特色反贫困理论形成与创立的历史考察研究</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马克思主义学院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11</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FF0000"/>
                <w:kern w:val="0"/>
                <w:szCs w:val="21"/>
              </w:rPr>
            </w:pPr>
            <w:r>
              <w:rPr>
                <w:rFonts w:hint="eastAsia" w:cs="等线" w:asciiTheme="minorEastAsia" w:hAnsiTheme="minorEastAsia" w:eastAsiaTheme="minorEastAsia"/>
                <w:color w:val="000000"/>
                <w:kern w:val="0"/>
                <w:sz w:val="22"/>
                <w:lang w:bidi="ar"/>
              </w:rPr>
              <w:t>金二威</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新时代上海乡村文化治理现代化研究</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马克思主义学院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12</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FF0000"/>
                <w:kern w:val="0"/>
                <w:szCs w:val="21"/>
              </w:rPr>
            </w:pPr>
            <w:r>
              <w:rPr>
                <w:rFonts w:hint="eastAsia" w:cs="等线" w:asciiTheme="minorEastAsia" w:hAnsiTheme="minorEastAsia" w:eastAsiaTheme="minorEastAsia"/>
                <w:color w:val="000000"/>
                <w:kern w:val="0"/>
                <w:sz w:val="22"/>
                <w:lang w:bidi="ar"/>
              </w:rPr>
              <w:t>刘雅兰</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中国式现代化道路的科学性及其特征</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马克思主义学院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13</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朱豪媛</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中国共产党破解历史周期率的“两个答案”及其相互关系研究</w:t>
            </w:r>
          </w:p>
        </w:tc>
        <w:tc>
          <w:tcPr>
            <w:tcW w:w="751" w:type="pct"/>
            <w:shd w:val="clear" w:color="auto" w:fill="auto"/>
            <w:vAlign w:val="center"/>
          </w:tcPr>
          <w:p>
            <w:pPr>
              <w:widowControl/>
              <w:jc w:val="center"/>
              <w:textAlignment w:val="center"/>
              <w:rPr>
                <w:rFonts w:cs="等线" w:asciiTheme="minorEastAsia" w:hAnsiTheme="minorEastAsia" w:eastAsiaTheme="minorEastAsia"/>
                <w:color w:val="000000"/>
                <w:sz w:val="22"/>
              </w:rPr>
            </w:pPr>
            <w:r>
              <w:rPr>
                <w:rFonts w:hint="eastAsia" w:cs="等线" w:asciiTheme="minorEastAsia" w:hAnsiTheme="minorEastAsia" w:eastAsiaTheme="minorEastAsia"/>
                <w:color w:val="000000"/>
                <w:kern w:val="0"/>
                <w:sz w:val="22"/>
                <w:lang w:bidi="ar"/>
              </w:rPr>
              <w:t>马克思主义学院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14</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FF0000"/>
                <w:kern w:val="0"/>
                <w:sz w:val="22"/>
                <w:lang w:bidi="ar"/>
              </w:rPr>
              <w:t>廖巍</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海派文化中凤凰视觉形象文献资料的整理与研究</w:t>
            </w:r>
          </w:p>
        </w:tc>
        <w:tc>
          <w:tcPr>
            <w:tcW w:w="75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应用艺术设计学院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15</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潘大圣</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新媒体视域下MR融合中国传统绘画展示理论与实践研究</w:t>
            </w:r>
          </w:p>
        </w:tc>
        <w:tc>
          <w:tcPr>
            <w:tcW w:w="75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应用艺术设计学院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16</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曹炀森</w:t>
            </w:r>
          </w:p>
        </w:tc>
        <w:tc>
          <w:tcPr>
            <w:tcW w:w="1804" w:type="pct"/>
            <w:shd w:val="clear" w:color="auto" w:fill="auto"/>
            <w:vAlign w:val="center"/>
          </w:tcPr>
          <w:p>
            <w:pPr>
              <w:widowControl/>
              <w:jc w:val="left"/>
              <w:textAlignment w:val="center"/>
              <w:rPr>
                <w:rFonts w:asciiTheme="minorEastAsia" w:hAnsiTheme="minorEastAsia" w:eastAsiaTheme="minorEastAsia"/>
                <w:color w:val="000000"/>
                <w:kern w:val="0"/>
                <w:szCs w:val="21"/>
              </w:rPr>
            </w:pPr>
            <w:r>
              <w:rPr>
                <w:rFonts w:hint="eastAsia" w:cs="等线" w:asciiTheme="minorEastAsia" w:hAnsiTheme="minorEastAsia" w:eastAsiaTheme="minorEastAsia"/>
                <w:color w:val="000000"/>
                <w:kern w:val="0"/>
                <w:sz w:val="22"/>
                <w:lang w:bidi="ar"/>
              </w:rPr>
              <w:t>数字化视域下花鸟工笔画空间表现探究——以于非闇牡丹花为例</w:t>
            </w:r>
          </w:p>
        </w:tc>
        <w:tc>
          <w:tcPr>
            <w:tcW w:w="75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应用艺术设计学院</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w:t>
            </w:r>
            <w:r>
              <w:rPr>
                <w:rFonts w:hint="eastAsia" w:ascii="Times New Roman" w:hAnsi="Times New Roman"/>
                <w:color w:val="000000"/>
                <w:kern w:val="0"/>
                <w:szCs w:val="21"/>
              </w:rPr>
              <w:t>22</w:t>
            </w:r>
            <w:r>
              <w:rPr>
                <w:rFonts w:ascii="Times New Roman" w:hAnsi="Times New Roman"/>
                <w:color w:val="000000"/>
                <w:kern w:val="0"/>
                <w:szCs w:val="21"/>
              </w:rPr>
              <w:t>QD</w:t>
            </w:r>
            <w:r>
              <w:rPr>
                <w:rFonts w:hint="eastAsia" w:ascii="Times New Roman" w:hAnsi="Times New Roman"/>
                <w:color w:val="000000"/>
                <w:kern w:val="0"/>
                <w:szCs w:val="21"/>
              </w:rPr>
              <w:t>17</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22</w:t>
            </w:r>
            <w:r>
              <w:rPr>
                <w:rFonts w:ascii="Times New Roman" w:hAnsi="Times New Roman"/>
                <w:color w:val="000000"/>
                <w:kern w:val="0"/>
                <w:szCs w:val="21"/>
              </w:rPr>
              <w:t>.1.1-202</w:t>
            </w:r>
            <w:r>
              <w:rPr>
                <w:rFonts w:hint="eastAsia" w:ascii="Times New Roman" w:hAnsi="Times New Roman"/>
                <w:color w:val="000000"/>
                <w:kern w:val="0"/>
                <w:szCs w:val="21"/>
              </w:rPr>
              <w:t>2</w:t>
            </w:r>
            <w:r>
              <w:rPr>
                <w:rFonts w:ascii="Times New Roman" w:hAnsi="Times New Roman"/>
                <w:color w:val="000000"/>
                <w:kern w:val="0"/>
                <w:szCs w:val="21"/>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毛新建</w:t>
            </w:r>
          </w:p>
        </w:tc>
        <w:tc>
          <w:tcPr>
            <w:tcW w:w="1804"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基于眼动追踪技术的食品包装视觉体验设计研究</w:t>
            </w:r>
          </w:p>
        </w:tc>
        <w:tc>
          <w:tcPr>
            <w:tcW w:w="751" w:type="pct"/>
            <w:shd w:val="clear" w:color="auto" w:fill="auto"/>
            <w:vAlign w:val="center"/>
          </w:tcPr>
          <w:p>
            <w:pPr>
              <w:widowControl/>
              <w:jc w:val="center"/>
              <w:textAlignment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应用艺术设计学院</w:t>
            </w:r>
          </w:p>
        </w:tc>
        <w:tc>
          <w:tcPr>
            <w:tcW w:w="791" w:type="pct"/>
            <w:shd w:val="clear" w:color="auto" w:fill="auto"/>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EGD22QD18</w:t>
            </w:r>
          </w:p>
        </w:tc>
        <w:tc>
          <w:tcPr>
            <w:tcW w:w="1070" w:type="pct"/>
            <w:shd w:val="clear" w:color="auto" w:fill="auto"/>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2022.1.1-2022.11.30</w:t>
            </w:r>
          </w:p>
        </w:tc>
      </w:tr>
    </w:tbl>
    <w:p/>
    <w:p>
      <w:pPr>
        <w:numPr>
          <w:ilvl w:val="0"/>
          <w:numId w:val="1"/>
        </w:numPr>
        <w:rPr>
          <w:rFonts w:hint="eastAsia"/>
          <w:lang w:eastAsia="zh-CN"/>
        </w:rPr>
      </w:pPr>
      <w:r>
        <w:rPr>
          <w:rFonts w:hint="eastAsia"/>
          <w:lang w:eastAsia="zh-CN"/>
        </w:rPr>
        <w:t>研究生副导师</w:t>
      </w:r>
    </w:p>
    <w:tbl>
      <w:tblPr>
        <w:tblStyle w:val="2"/>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165"/>
        <w:gridCol w:w="1275"/>
        <w:gridCol w:w="139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4"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负责人</w:t>
            </w:r>
          </w:p>
        </w:tc>
        <w:tc>
          <w:tcPr>
            <w:tcW w:w="1892"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项目名称</w:t>
            </w:r>
          </w:p>
        </w:tc>
        <w:tc>
          <w:tcPr>
            <w:tcW w:w="762"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所在部门</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立项编号</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李文辰</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基于气敏传感器的糖尿病检测仪研究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EGD22DS01</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颜亮</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基于热力耦合的SLM成形镍基高温合金界面响应机理实验与数值模拟研究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EGD22DS02</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张义方</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轧制过程机电液耦合学动力学分析与振动控制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EGD22DS03</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刘巍</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伺服液压泵侧板动态平衡机理研究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EGD22DS04</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于程程</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基于流图数据的仿真生成研究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EGD22DS05</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王腾</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全光纤超短高阶模场脉冲产生研究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EGD22DS06</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陈建</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基于智能终端的室内位置感知研究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EGD22DS07</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 xml:space="preserve">彭越 </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基于无线感知的人体行为识别方法研究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EGD22DS08</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徐利军</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三氟溴甲烷类卤代有机污染物的电化学资源化利用研究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EGD22DS09</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张燕</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Style w:val="4"/>
                <w:rFonts w:hint="default" w:ascii="Times New Roman" w:hAnsi="Times New Roman" w:cs="Times New Roman"/>
                <w:lang w:bidi="ar"/>
              </w:rPr>
              <w:t>以</w:t>
            </w:r>
            <w:r>
              <w:rPr>
                <w:rStyle w:val="5"/>
                <w:lang w:bidi="ar"/>
              </w:rPr>
              <w:t>GABA</w:t>
            </w:r>
            <w:r>
              <w:rPr>
                <w:rStyle w:val="4"/>
                <w:rFonts w:hint="default" w:ascii="Times New Roman" w:hAnsi="Times New Roman" w:cs="Times New Roman"/>
                <w:lang w:bidi="ar"/>
              </w:rPr>
              <w:t>为靶标的新型含（亚）砜结构的间二酰胺类化合物的设计、合成与生物活性探究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EGD22DS10</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刘倩</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 xml:space="preserve">氮掺杂碳纳米管对真菌浸铜的强化作用  </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EGD22DS11</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黄庆</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退役动力电池智能拆解平台构建及应用研究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EGD22DS12</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noWrap/>
          </w:tcPr>
          <w:p>
            <w:pPr>
              <w:widowControl/>
              <w:jc w:val="center"/>
              <w:textAlignment w:val="center"/>
              <w:rPr>
                <w:rFonts w:ascii="Times New Roman" w:hAnsi="Times New Roman"/>
                <w:color w:val="000000"/>
                <w:kern w:val="0"/>
                <w:sz w:val="22"/>
                <w:lang w:bidi="ar"/>
              </w:rPr>
            </w:pPr>
          </w:p>
          <w:p>
            <w:pPr>
              <w:widowControl/>
              <w:jc w:val="center"/>
              <w:textAlignment w:val="center"/>
              <w:rPr>
                <w:rFonts w:ascii="Times New Roman" w:hAnsi="Times New Roman"/>
                <w:color w:val="000000"/>
                <w:kern w:val="0"/>
                <w:sz w:val="22"/>
                <w:lang w:bidi="ar"/>
              </w:rPr>
            </w:pPr>
            <w:r>
              <w:rPr>
                <w:rFonts w:ascii="Times New Roman" w:hAnsi="Times New Roman"/>
                <w:color w:val="FF0000"/>
                <w:kern w:val="0"/>
                <w:sz w:val="22"/>
                <w:lang w:bidi="ar"/>
              </w:rPr>
              <w:t>顾卫华</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电场作用下嗜酸氧化亚铁硫杆菌EPS分泌与冶金效率关系的基础研究</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EGD22DS13</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张晓娇</w:t>
            </w:r>
          </w:p>
        </w:tc>
        <w:tc>
          <w:tcPr>
            <w:tcW w:w="1892" w:type="pct"/>
            <w:shd w:val="clear" w:color="auto" w:fill="auto"/>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污泥与生物质共热解中交互作用与产物重组机理</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资源与环境工程学院</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EGD22DS14</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李一凡</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具有快速响应与高效温度调节的智能织物的设计、制备与应用</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EGD22DS15</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李奕怀</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多尺度纳米复合结构的PbS基热电材料中</w:t>
            </w:r>
            <w:r>
              <w:rPr>
                <w:rFonts w:ascii="Times New Roman" w:hAnsi="Times New Roman"/>
                <w:color w:val="000000"/>
                <w:kern w:val="0"/>
                <w:sz w:val="22"/>
                <w:lang w:bidi="ar"/>
              </w:rPr>
              <w:br w:type="textWrapping"/>
            </w:r>
            <w:r>
              <w:rPr>
                <w:rFonts w:ascii="Times New Roman" w:hAnsi="Times New Roman"/>
                <w:color w:val="000000"/>
                <w:kern w:val="0"/>
                <w:sz w:val="22"/>
                <w:lang w:bidi="ar"/>
              </w:rPr>
              <w:t>声子-电子协同调控机理及性能研究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EGD22DS16</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燕溪溪</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锂离子电池改性石墨负极材料快充电化学性能研究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EGD22DS17</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于欢</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数字化转型驱动中国企业高质量出口研究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EGD22DS18</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王晓君</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激励中小企业创新的绿色财税政策优化路径研究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EGD22DS19</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周怡</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 xml:space="preserve">后疫情时代的碳排放权价格形成机制与我国提升碳定价权路径研究 </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EGD22DS20</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陆晓琴</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汇率双向波动常态化下的企业资本结构选择研究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EGD22DS21</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郑国娇</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 xml:space="preserve">数字经济对中国制造业高质量发展     </w:t>
            </w:r>
            <w:r>
              <w:rPr>
                <w:rFonts w:ascii="Times New Roman" w:hAnsi="Times New Roman"/>
                <w:color w:val="000000"/>
                <w:kern w:val="0"/>
                <w:sz w:val="22"/>
                <w:lang w:bidi="ar"/>
              </w:rPr>
              <w:br w:type="textWrapping"/>
            </w:r>
            <w:r>
              <w:rPr>
                <w:rFonts w:ascii="Times New Roman" w:hAnsi="Times New Roman"/>
                <w:color w:val="000000"/>
                <w:kern w:val="0"/>
                <w:sz w:val="22"/>
                <w:lang w:bidi="ar"/>
              </w:rPr>
              <w:t xml:space="preserve">    的影响机制与提升路径研究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EGD22DS22</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王世钰</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当代翻译理论发展的瓶颈与新径研究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文理学部</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EGD22DS23</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黑黟</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基于语料库的外交话语英译风格研究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文理学部</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EGD22DS24</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菅雯雯</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长程跳跃合金模型的局域化研究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文理学部</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EGD22DS25</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刘畅</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语性理论视域下的文学翻译语言风格及美学价值的再现</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文理学部</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EGD22DS26</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陈实</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融媒体时代非遗红色资源的译介与传播研究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文理学部</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EGD22DS27</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姚喆</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韧性城市视角下的上海里弄社区公共设施现状研究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应用艺术设计学院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EGD22DS28</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黎春辉</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纸艺介入当代陶瓷艺术创作应用研究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应用艺术设计学院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EGD22DS29</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徐峰</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叙事性方法在综合性院校艺术教育空间设计应用研究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应用艺术设计学院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EGD22DS30</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常小勇</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校企合作培养职业院校“双师型”师资研究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EGD22DS31</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王海莹</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多主体协同的职教师资培养模式研究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EGD22DS32</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FF0000"/>
                <w:kern w:val="0"/>
                <w:sz w:val="22"/>
                <w:lang w:bidi="ar"/>
              </w:rPr>
              <w:t>郑世良</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基于学习成果导向的职教硕士课程体系设计研究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EGD22DS33</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王小明</w:t>
            </w:r>
          </w:p>
        </w:tc>
        <w:tc>
          <w:tcPr>
            <w:tcW w:w="1892" w:type="pct"/>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 w:val="22"/>
                <w:lang w:bidi="ar"/>
              </w:rPr>
              <w:t>基于扎根理论的教育硕士（职教领域）专硕研究生职业认同研究</w:t>
            </w:r>
          </w:p>
        </w:tc>
        <w:tc>
          <w:tcPr>
            <w:tcW w:w="762"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833" w:type="pct"/>
          </w:tcPr>
          <w:p>
            <w:pPr>
              <w:widowControl/>
              <w:jc w:val="center"/>
              <w:rPr>
                <w:rFonts w:ascii="Times New Roman" w:hAnsi="Times New Roman"/>
                <w:color w:val="000000"/>
                <w:kern w:val="0"/>
                <w:szCs w:val="21"/>
              </w:rPr>
            </w:pPr>
            <w:r>
              <w:rPr>
                <w:rFonts w:ascii="Times New Roman" w:hAnsi="Times New Roman"/>
                <w:color w:val="000000"/>
                <w:kern w:val="0"/>
                <w:szCs w:val="21"/>
              </w:rPr>
              <w:t>EGD22DS34</w:t>
            </w:r>
          </w:p>
        </w:tc>
        <w:tc>
          <w:tcPr>
            <w:tcW w:w="977" w:type="pct"/>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2022.1.1-2022.11.30</w:t>
            </w:r>
          </w:p>
        </w:tc>
      </w:tr>
    </w:tbl>
    <w:p>
      <w:pPr>
        <w:numPr>
          <w:numId w:val="0"/>
        </w:numPr>
        <w:rPr>
          <w:rFonts w:hint="eastAsia"/>
          <w:lang w:eastAsia="zh-CN"/>
        </w:rPr>
      </w:pPr>
    </w:p>
    <w:p>
      <w:pPr>
        <w:numPr>
          <w:ilvl w:val="0"/>
          <w:numId w:val="1"/>
        </w:numPr>
        <w:ind w:left="0" w:leftChars="0" w:firstLine="0" w:firstLineChars="0"/>
        <w:rPr>
          <w:rFonts w:hint="eastAsia"/>
          <w:lang w:eastAsia="zh-CN"/>
        </w:rPr>
      </w:pPr>
      <w:r>
        <w:rPr>
          <w:rFonts w:hint="eastAsia"/>
          <w:lang w:eastAsia="zh-CN"/>
        </w:rPr>
        <w:t>其他</w:t>
      </w:r>
    </w:p>
    <w:tbl>
      <w:tblPr>
        <w:tblStyle w:val="2"/>
        <w:tblW w:w="813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6"/>
        <w:gridCol w:w="2770"/>
        <w:gridCol w:w="1220"/>
        <w:gridCol w:w="166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auto"/>
                <w:sz w:val="21"/>
                <w:szCs w:val="24"/>
                <w:lang w:val="zh-CN"/>
              </w:rPr>
              <w:t>负责人</w:t>
            </w:r>
          </w:p>
        </w:tc>
        <w:tc>
          <w:tcPr>
            <w:tcW w:w="277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auto"/>
                <w:sz w:val="21"/>
                <w:szCs w:val="24"/>
                <w:lang w:val="zh-CN"/>
              </w:rPr>
              <w:t>项目名称</w:t>
            </w:r>
          </w:p>
        </w:tc>
        <w:tc>
          <w:tcPr>
            <w:tcW w:w="122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auto"/>
                <w:sz w:val="21"/>
                <w:szCs w:val="24"/>
                <w:lang w:val="zh-CN"/>
              </w:rPr>
              <w:t>所在部门</w:t>
            </w:r>
          </w:p>
        </w:tc>
        <w:tc>
          <w:tcPr>
            <w:tcW w:w="16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000000"/>
                <w:sz w:val="21"/>
                <w:szCs w:val="24"/>
                <w:lang w:val="zh-CN"/>
              </w:rPr>
              <w:t>立项编号</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000000"/>
                <w:sz w:val="21"/>
                <w:szCs w:val="24"/>
                <w:lang w:val="zh-CN"/>
              </w:rPr>
              <w:t>项目期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1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stheme="minorBidi"/>
                <w:color w:val="000000"/>
                <w:sz w:val="21"/>
                <w:szCs w:val="24"/>
                <w:lang w:val="zh-CN"/>
              </w:rPr>
            </w:pPr>
            <w:r>
              <w:rPr>
                <w:rFonts w:hint="eastAsia" w:ascii="宋体" w:hAnsi="宋体" w:cstheme="minorBidi"/>
                <w:color w:val="000000"/>
                <w:sz w:val="21"/>
                <w:szCs w:val="24"/>
                <w:lang w:val="zh-CN"/>
              </w:rPr>
              <w:t>姚驰甫</w:t>
            </w:r>
          </w:p>
        </w:tc>
        <w:tc>
          <w:tcPr>
            <w:tcW w:w="277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stheme="minorBidi"/>
                <w:color w:val="000000"/>
                <w:sz w:val="21"/>
                <w:szCs w:val="24"/>
                <w:lang w:val="zh-CN"/>
              </w:rPr>
            </w:pPr>
            <w:r>
              <w:rPr>
                <w:rFonts w:hint="eastAsia" w:ascii="宋体" w:hAnsi="宋体" w:cstheme="minorBidi"/>
                <w:color w:val="000000"/>
                <w:sz w:val="21"/>
                <w:szCs w:val="24"/>
                <w:lang w:val="zh-CN"/>
              </w:rPr>
              <w:t>身份认证技术在校园内的应用研究一期</w:t>
            </w:r>
          </w:p>
        </w:tc>
        <w:tc>
          <w:tcPr>
            <w:tcW w:w="122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auto"/>
                <w:sz w:val="22"/>
                <w:szCs w:val="24"/>
                <w:lang w:val="zh-CN"/>
              </w:rPr>
              <w:t>计信</w:t>
            </w:r>
          </w:p>
        </w:tc>
        <w:tc>
          <w:tcPr>
            <w:tcW w:w="16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default" w:ascii="Times New Roman" w:hAnsi="Times New Roman" w:eastAsia="Times New Roman"/>
                <w:color w:val="000000"/>
                <w:sz w:val="21"/>
                <w:szCs w:val="24"/>
                <w:lang w:val="en-US"/>
              </w:rPr>
              <w:t>EGD22QD20</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2022.3-2022.11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1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stheme="minorBidi"/>
                <w:color w:val="000000"/>
                <w:sz w:val="21"/>
                <w:szCs w:val="24"/>
                <w:lang w:val="zh-CN"/>
              </w:rPr>
            </w:pPr>
            <w:r>
              <w:rPr>
                <w:rFonts w:hint="eastAsia" w:ascii="宋体" w:hAnsi="宋体" w:cstheme="minorBidi"/>
                <w:color w:val="000000"/>
                <w:sz w:val="21"/>
                <w:szCs w:val="24"/>
                <w:lang w:val="zh-CN"/>
              </w:rPr>
              <w:t>杨士清</w:t>
            </w:r>
          </w:p>
        </w:tc>
        <w:tc>
          <w:tcPr>
            <w:tcW w:w="277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stheme="minorBidi"/>
                <w:color w:val="000000"/>
                <w:sz w:val="21"/>
                <w:szCs w:val="24"/>
                <w:lang w:val="zh-CN"/>
              </w:rPr>
            </w:pPr>
            <w:r>
              <w:rPr>
                <w:rFonts w:hint="eastAsia" w:ascii="宋体" w:hAnsi="宋体" w:cstheme="minorBidi"/>
                <w:color w:val="000000"/>
                <w:sz w:val="21"/>
                <w:szCs w:val="24"/>
                <w:lang w:val="zh-CN"/>
              </w:rPr>
              <w:t>任务调度监控软件选型研究一期</w:t>
            </w:r>
          </w:p>
        </w:tc>
        <w:tc>
          <w:tcPr>
            <w:tcW w:w="122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eastAsia" w:ascii="宋体" w:hAnsi="宋体"/>
                <w:color w:val="000000"/>
                <w:sz w:val="21"/>
                <w:szCs w:val="24"/>
                <w:lang w:val="zh-CN"/>
              </w:rPr>
              <w:t>图书馆</w:t>
            </w:r>
          </w:p>
        </w:tc>
        <w:tc>
          <w:tcPr>
            <w:tcW w:w="16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color w:val="auto"/>
                <w:sz w:val="22"/>
                <w:szCs w:val="24"/>
                <w:lang w:val="zh-CN"/>
              </w:rPr>
            </w:pPr>
            <w:r>
              <w:rPr>
                <w:rFonts w:hint="default" w:ascii="Times New Roman" w:hAnsi="Times New Roman" w:eastAsia="Times New Roman"/>
                <w:color w:val="000000"/>
                <w:sz w:val="21"/>
                <w:szCs w:val="24"/>
                <w:lang w:val="en-US"/>
              </w:rPr>
              <w:t>EGD22QD22</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Lines="0" w:afterLines="0"/>
              <w:jc w:val="center"/>
              <w:rPr>
                <w:rFonts w:hint="eastAsia" w:ascii="宋体" w:hAnsi="宋体" w:eastAsia="宋体"/>
                <w:color w:val="auto"/>
                <w:kern w:val="2"/>
                <w:sz w:val="22"/>
                <w:szCs w:val="24"/>
                <w:lang w:val="zh-CN" w:eastAsia="zh-CN"/>
              </w:rPr>
            </w:pPr>
            <w:r>
              <w:rPr>
                <w:rFonts w:hint="eastAsia" w:ascii="宋体" w:hAnsi="宋体"/>
                <w:color w:val="auto"/>
                <w:sz w:val="22"/>
                <w:szCs w:val="24"/>
                <w:lang w:val="en-US" w:eastAsia="zh-CN"/>
              </w:rPr>
              <w:t>2022.3-2022.11</w:t>
            </w:r>
          </w:p>
        </w:tc>
      </w:tr>
    </w:tbl>
    <w:p>
      <w:pPr>
        <w:numPr>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06E63"/>
    <w:multiLevelType w:val="singleLevel"/>
    <w:tmpl w:val="24406E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jZkZmQ5MzI0ZDEyYjc5MTU0ZWNjZmJkZWIxNzMifQ=="/>
  </w:docVars>
  <w:rsids>
    <w:rsidRoot w:val="00000000"/>
    <w:rsid w:val="2FC51ABF"/>
    <w:rsid w:val="3FD57736"/>
    <w:rsid w:val="4EC95307"/>
    <w:rsid w:val="5B90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2022-11-30T02:52:53Z</dcterms:created>
  <dc:creator>lenovo</dc:creator>
  <cp:lastModifiedBy>Lisa</cp:lastModifiedBy>
  <dcterms:modified xsi:type="dcterms:W3CDTF">2022-11-30T03:02:41Z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FC79587FB4DE4858AC3B66275A617525</vt:lpwstr>
  </property>
</Properties>
</file>