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D1" w:rsidRDefault="00DE69D1" w:rsidP="00DE69D1">
      <w:pPr>
        <w:jc w:val="center"/>
        <w:rPr>
          <w:rFonts w:hint="eastAsia"/>
          <w:b/>
          <w:sz w:val="28"/>
          <w:szCs w:val="28"/>
        </w:rPr>
      </w:pPr>
      <w:r w:rsidRPr="00DE69D1">
        <w:rPr>
          <w:rFonts w:hint="eastAsia"/>
          <w:b/>
          <w:sz w:val="28"/>
          <w:szCs w:val="28"/>
        </w:rPr>
        <w:t>2021</w:t>
      </w:r>
      <w:proofErr w:type="gramStart"/>
      <w:r w:rsidRPr="00DE69D1">
        <w:rPr>
          <w:rFonts w:hint="eastAsia"/>
          <w:b/>
          <w:sz w:val="28"/>
          <w:szCs w:val="28"/>
        </w:rPr>
        <w:t>校基金结项</w:t>
      </w:r>
      <w:proofErr w:type="gramEnd"/>
      <w:r w:rsidRPr="00DE69D1">
        <w:rPr>
          <w:rFonts w:hint="eastAsia"/>
          <w:b/>
          <w:sz w:val="28"/>
          <w:szCs w:val="28"/>
        </w:rPr>
        <w:t>名单</w:t>
      </w:r>
    </w:p>
    <w:p w:rsidR="00DE69D1" w:rsidRPr="00DE69D1" w:rsidRDefault="00DE69D1" w:rsidP="00DE69D1">
      <w:pPr>
        <w:ind w:firstLine="420"/>
        <w:jc w:val="left"/>
        <w:rPr>
          <w:sz w:val="28"/>
          <w:szCs w:val="28"/>
        </w:rPr>
      </w:pPr>
      <w:r w:rsidRPr="004E107F">
        <w:rPr>
          <w:rFonts w:hint="eastAsia"/>
          <w:sz w:val="28"/>
          <w:szCs w:val="28"/>
        </w:rPr>
        <w:t>1</w:t>
      </w:r>
      <w:r w:rsidRPr="004E107F">
        <w:rPr>
          <w:rFonts w:hint="eastAsia"/>
          <w:sz w:val="28"/>
          <w:szCs w:val="28"/>
        </w:rPr>
        <w:t>、青年</w:t>
      </w:r>
      <w:r w:rsidRPr="004E107F">
        <w:rPr>
          <w:rFonts w:hint="eastAsia"/>
          <w:sz w:val="28"/>
          <w:szCs w:val="28"/>
        </w:rPr>
        <w:t>-</w:t>
      </w:r>
      <w:r w:rsidRPr="004E107F">
        <w:rPr>
          <w:rFonts w:hint="eastAsia"/>
          <w:sz w:val="28"/>
          <w:szCs w:val="28"/>
        </w:rPr>
        <w:t>理工类</w:t>
      </w:r>
      <w:r>
        <w:rPr>
          <w:rFonts w:hint="eastAsia"/>
          <w:sz w:val="28"/>
          <w:szCs w:val="28"/>
        </w:rPr>
        <w:t>，青年社科</w:t>
      </w:r>
      <w:bookmarkStart w:id="0" w:name="_GoBack"/>
      <w:bookmarkEnd w:id="0"/>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80"/>
        <w:gridCol w:w="1200"/>
        <w:gridCol w:w="4100"/>
      </w:tblGrid>
      <w:tr w:rsidR="00DE69D1" w:rsidRPr="004E107F" w:rsidTr="00E94E87">
        <w:trPr>
          <w:trHeight w:val="540"/>
          <w:tblHeader/>
          <w:jc w:val="center"/>
        </w:trPr>
        <w:tc>
          <w:tcPr>
            <w:tcW w:w="980" w:type="dxa"/>
            <w:vAlign w:val="center"/>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序号</w:t>
            </w:r>
          </w:p>
        </w:tc>
        <w:tc>
          <w:tcPr>
            <w:tcW w:w="980" w:type="dxa"/>
            <w:shd w:val="clear" w:color="auto" w:fill="auto"/>
            <w:vAlign w:val="center"/>
            <w:hideMark/>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负责人</w:t>
            </w:r>
          </w:p>
        </w:tc>
        <w:tc>
          <w:tcPr>
            <w:tcW w:w="1200" w:type="dxa"/>
            <w:shd w:val="clear" w:color="auto" w:fill="auto"/>
            <w:vAlign w:val="center"/>
            <w:hideMark/>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部门</w:t>
            </w:r>
          </w:p>
        </w:tc>
        <w:tc>
          <w:tcPr>
            <w:tcW w:w="4100" w:type="dxa"/>
            <w:shd w:val="clear" w:color="auto" w:fill="auto"/>
            <w:vAlign w:val="center"/>
            <w:hideMark/>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项目名称</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sidRPr="004E107F">
              <w:rPr>
                <w:rFonts w:asciiTheme="minorEastAsia" w:eastAsiaTheme="minorEastAsia" w:hAnsiTheme="minorEastAsia" w:cs="宋体" w:hint="eastAsia"/>
                <w:kern w:val="0"/>
                <w:szCs w:val="21"/>
              </w:rPr>
              <w:t>1</w:t>
            </w:r>
          </w:p>
        </w:tc>
        <w:tc>
          <w:tcPr>
            <w:tcW w:w="980" w:type="dxa"/>
            <w:shd w:val="clear" w:color="auto" w:fill="auto"/>
            <w:vAlign w:val="center"/>
            <w:hideMark/>
          </w:tcPr>
          <w:p w:rsidR="00DE69D1" w:rsidRDefault="00DE69D1" w:rsidP="00E94E87">
            <w:pPr>
              <w:widowControl/>
              <w:jc w:val="center"/>
              <w:rPr>
                <w:rFonts w:ascii="等线" w:eastAsia="等线" w:hAnsi="等线"/>
                <w:color w:val="000000"/>
                <w:sz w:val="22"/>
              </w:rPr>
            </w:pPr>
            <w:r>
              <w:rPr>
                <w:rFonts w:ascii="等线" w:eastAsia="等线" w:hAnsi="等线" w:hint="eastAsia"/>
                <w:color w:val="000000"/>
                <w:sz w:val="22"/>
              </w:rPr>
              <w:t>高职学院</w:t>
            </w:r>
          </w:p>
        </w:tc>
        <w:tc>
          <w:tcPr>
            <w:tcW w:w="1200" w:type="dxa"/>
            <w:shd w:val="clear" w:color="auto" w:fill="auto"/>
            <w:vAlign w:val="center"/>
            <w:hideMark/>
          </w:tcPr>
          <w:p w:rsidR="00DE69D1" w:rsidRDefault="00DE69D1" w:rsidP="00E94E87">
            <w:pPr>
              <w:jc w:val="center"/>
              <w:rPr>
                <w:rFonts w:ascii="等线" w:eastAsia="等线" w:hAnsi="等线"/>
                <w:color w:val="000000"/>
                <w:sz w:val="22"/>
              </w:rPr>
            </w:pPr>
            <w:proofErr w:type="gramStart"/>
            <w:r>
              <w:rPr>
                <w:rFonts w:ascii="等线" w:eastAsia="等线" w:hAnsi="等线" w:hint="eastAsia"/>
                <w:color w:val="000000"/>
                <w:sz w:val="22"/>
              </w:rPr>
              <w:t>刘亚晖</w:t>
            </w:r>
            <w:proofErr w:type="gramEnd"/>
          </w:p>
        </w:tc>
        <w:tc>
          <w:tcPr>
            <w:tcW w:w="41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解决车辆路径问题的快速智能方法研究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sidRPr="004E107F">
              <w:rPr>
                <w:rFonts w:asciiTheme="minorEastAsia" w:eastAsiaTheme="minorEastAsia" w:hAnsiTheme="minorEastAsia" w:cs="宋体" w:hint="eastAsia"/>
                <w:kern w:val="0"/>
                <w:szCs w:val="21"/>
              </w:rPr>
              <w:t>2</w:t>
            </w:r>
          </w:p>
        </w:tc>
        <w:tc>
          <w:tcPr>
            <w:tcW w:w="98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高职学院</w:t>
            </w:r>
          </w:p>
        </w:tc>
        <w:tc>
          <w:tcPr>
            <w:tcW w:w="12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刘</w:t>
            </w:r>
            <w:proofErr w:type="gramStart"/>
            <w:r>
              <w:rPr>
                <w:rFonts w:ascii="等线" w:eastAsia="等线" w:hAnsi="等线" w:hint="eastAsia"/>
                <w:color w:val="000000"/>
                <w:sz w:val="22"/>
              </w:rPr>
              <w:t>莹莹</w:t>
            </w:r>
            <w:proofErr w:type="gramEnd"/>
          </w:p>
        </w:tc>
        <w:tc>
          <w:tcPr>
            <w:tcW w:w="41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电动汽车三元</w:t>
            </w:r>
            <w:proofErr w:type="gramStart"/>
            <w:r>
              <w:rPr>
                <w:rFonts w:ascii="等线" w:eastAsia="等线" w:hAnsi="等线" w:hint="eastAsia"/>
                <w:color w:val="000000"/>
                <w:sz w:val="22"/>
              </w:rPr>
              <w:t>锂</w:t>
            </w:r>
            <w:proofErr w:type="gramEnd"/>
            <w:r>
              <w:rPr>
                <w:rFonts w:ascii="等线" w:eastAsia="等线" w:hAnsi="等线" w:hint="eastAsia"/>
                <w:color w:val="000000"/>
                <w:sz w:val="22"/>
              </w:rPr>
              <w:t>离子电池建模策略研究</w:t>
            </w:r>
          </w:p>
        </w:tc>
      </w:tr>
      <w:tr w:rsidR="00DE69D1" w:rsidRPr="004E107F" w:rsidTr="00E94E87">
        <w:trPr>
          <w:trHeight w:val="349"/>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sidRPr="004E107F">
              <w:rPr>
                <w:rFonts w:asciiTheme="minorEastAsia" w:eastAsiaTheme="minorEastAsia" w:hAnsiTheme="minorEastAsia" w:cs="宋体" w:hint="eastAsia"/>
                <w:kern w:val="0"/>
                <w:szCs w:val="21"/>
              </w:rPr>
              <w:t>3</w:t>
            </w:r>
          </w:p>
        </w:tc>
        <w:tc>
          <w:tcPr>
            <w:tcW w:w="98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工学部</w:t>
            </w:r>
          </w:p>
        </w:tc>
        <w:tc>
          <w:tcPr>
            <w:tcW w:w="12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李</w:t>
            </w:r>
            <w:proofErr w:type="gramStart"/>
            <w:r>
              <w:rPr>
                <w:rFonts w:ascii="等线" w:eastAsia="等线" w:hAnsi="等线" w:hint="eastAsia"/>
                <w:color w:val="000000"/>
                <w:sz w:val="22"/>
              </w:rPr>
              <w:t>一</w:t>
            </w:r>
            <w:proofErr w:type="gramEnd"/>
            <w:r>
              <w:rPr>
                <w:rFonts w:ascii="等线" w:eastAsia="等线" w:hAnsi="等线" w:hint="eastAsia"/>
                <w:color w:val="000000"/>
                <w:sz w:val="22"/>
              </w:rPr>
              <w:t>凡</w:t>
            </w:r>
          </w:p>
        </w:tc>
        <w:tc>
          <w:tcPr>
            <w:tcW w:w="41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基于扫描量热显微镜的微观定域内材料热物性研究</w:t>
            </w:r>
          </w:p>
        </w:tc>
      </w:tr>
      <w:tr w:rsidR="00DE69D1" w:rsidRPr="004E107F" w:rsidTr="00E94E87">
        <w:trPr>
          <w:trHeight w:val="27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sidRPr="004E107F">
              <w:rPr>
                <w:rFonts w:asciiTheme="minorEastAsia" w:eastAsiaTheme="minorEastAsia" w:hAnsiTheme="minorEastAsia" w:cs="宋体" w:hint="eastAsia"/>
                <w:kern w:val="0"/>
                <w:szCs w:val="21"/>
              </w:rPr>
              <w:t>4</w:t>
            </w:r>
          </w:p>
        </w:tc>
        <w:tc>
          <w:tcPr>
            <w:tcW w:w="98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工学部</w:t>
            </w:r>
          </w:p>
        </w:tc>
        <w:tc>
          <w:tcPr>
            <w:tcW w:w="12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王馨</w:t>
            </w:r>
          </w:p>
        </w:tc>
        <w:tc>
          <w:tcPr>
            <w:tcW w:w="41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冲压成形过程中钢板形变摩擦层组织结构演化与表面拉毛损伤机制研究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sidRPr="004E107F">
              <w:rPr>
                <w:rFonts w:asciiTheme="minorEastAsia" w:eastAsiaTheme="minorEastAsia" w:hAnsiTheme="minorEastAsia" w:cs="宋体" w:hint="eastAsia"/>
                <w:kern w:val="0"/>
                <w:szCs w:val="21"/>
              </w:rPr>
              <w:t>5</w:t>
            </w:r>
          </w:p>
        </w:tc>
        <w:tc>
          <w:tcPr>
            <w:tcW w:w="98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工学部</w:t>
            </w:r>
          </w:p>
        </w:tc>
        <w:tc>
          <w:tcPr>
            <w:tcW w:w="12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彭越</w:t>
            </w:r>
          </w:p>
        </w:tc>
        <w:tc>
          <w:tcPr>
            <w:tcW w:w="4100" w:type="dxa"/>
            <w:shd w:val="clear" w:color="auto" w:fill="auto"/>
            <w:vAlign w:val="center"/>
            <w:hideMark/>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基于协作多输入多输出的起重机械无线监测系统的能量有效性研究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sidRPr="004E107F">
              <w:rPr>
                <w:rFonts w:asciiTheme="minorEastAsia" w:eastAsiaTheme="minorEastAsia" w:hAnsiTheme="minorEastAsia" w:cs="宋体" w:hint="eastAsia"/>
                <w:kern w:val="0"/>
                <w:szCs w:val="21"/>
              </w:rPr>
              <w:t>6</w:t>
            </w:r>
          </w:p>
        </w:tc>
        <w:tc>
          <w:tcPr>
            <w:tcW w:w="98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工学部</w:t>
            </w:r>
          </w:p>
        </w:tc>
        <w:tc>
          <w:tcPr>
            <w:tcW w:w="1200" w:type="dxa"/>
            <w:shd w:val="clear" w:color="auto" w:fill="auto"/>
            <w:vAlign w:val="center"/>
          </w:tcPr>
          <w:p w:rsidR="00DE69D1" w:rsidRDefault="00DE69D1" w:rsidP="00E94E87">
            <w:pPr>
              <w:jc w:val="center"/>
              <w:rPr>
                <w:rFonts w:ascii="等线" w:eastAsia="等线" w:hAnsi="等线"/>
                <w:color w:val="000000"/>
                <w:sz w:val="22"/>
              </w:rPr>
            </w:pPr>
            <w:proofErr w:type="gramStart"/>
            <w:r>
              <w:rPr>
                <w:rFonts w:ascii="等线" w:eastAsia="等线" w:hAnsi="等线" w:hint="eastAsia"/>
                <w:color w:val="000000"/>
                <w:sz w:val="22"/>
              </w:rPr>
              <w:t>李弘耀</w:t>
            </w:r>
            <w:proofErr w:type="gramEnd"/>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不同纤维铺层方向对复合材料连接结构性能及失效方式的影响</w:t>
            </w:r>
          </w:p>
        </w:tc>
      </w:tr>
      <w:tr w:rsidR="00DE69D1" w:rsidRPr="004E107F" w:rsidTr="00E94E87">
        <w:trPr>
          <w:trHeight w:val="81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sidRPr="004E107F">
              <w:rPr>
                <w:rFonts w:asciiTheme="minorEastAsia" w:eastAsiaTheme="minorEastAsia" w:hAnsiTheme="minorEastAsia" w:cs="宋体" w:hint="eastAsia"/>
                <w:kern w:val="0"/>
                <w:szCs w:val="21"/>
              </w:rPr>
              <w:t>7</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国际交流学院</w:t>
            </w:r>
          </w:p>
        </w:tc>
        <w:tc>
          <w:tcPr>
            <w:tcW w:w="12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张婷婷</w:t>
            </w:r>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国际中文教育视域下的“主观轻量”表达研究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sidRPr="004E107F">
              <w:rPr>
                <w:rFonts w:asciiTheme="minorEastAsia" w:eastAsiaTheme="minorEastAsia" w:hAnsiTheme="minorEastAsia" w:cs="宋体" w:hint="eastAsia"/>
                <w:kern w:val="0"/>
                <w:szCs w:val="21"/>
              </w:rPr>
              <w:t>8</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经济与管理学院</w:t>
            </w:r>
          </w:p>
        </w:tc>
        <w:tc>
          <w:tcPr>
            <w:tcW w:w="1200" w:type="dxa"/>
            <w:shd w:val="clear" w:color="auto" w:fill="auto"/>
            <w:vAlign w:val="center"/>
          </w:tcPr>
          <w:p w:rsidR="00DE69D1" w:rsidRDefault="00DE69D1" w:rsidP="00E94E87">
            <w:pPr>
              <w:jc w:val="center"/>
              <w:rPr>
                <w:rFonts w:ascii="等线" w:eastAsia="等线" w:hAnsi="等线"/>
                <w:color w:val="000000"/>
                <w:sz w:val="22"/>
              </w:rPr>
            </w:pPr>
            <w:proofErr w:type="gramStart"/>
            <w:r>
              <w:rPr>
                <w:rFonts w:ascii="等线" w:eastAsia="等线" w:hAnsi="等线" w:hint="eastAsia"/>
                <w:color w:val="000000"/>
                <w:sz w:val="22"/>
              </w:rPr>
              <w:t>吴卿毅</w:t>
            </w:r>
            <w:proofErr w:type="gramEnd"/>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信息超载下在线评论对消费者购买意愿的影响研究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经济与管理学院</w:t>
            </w:r>
          </w:p>
        </w:tc>
        <w:tc>
          <w:tcPr>
            <w:tcW w:w="1200" w:type="dxa"/>
            <w:shd w:val="clear" w:color="auto" w:fill="auto"/>
            <w:vAlign w:val="center"/>
          </w:tcPr>
          <w:p w:rsidR="00DE69D1" w:rsidRDefault="00DE69D1" w:rsidP="00E94E87">
            <w:pPr>
              <w:jc w:val="center"/>
              <w:rPr>
                <w:rFonts w:ascii="等线" w:eastAsia="等线" w:hAnsi="等线"/>
                <w:color w:val="000000"/>
                <w:sz w:val="22"/>
              </w:rPr>
            </w:pPr>
            <w:proofErr w:type="gramStart"/>
            <w:r>
              <w:rPr>
                <w:rFonts w:ascii="等线" w:eastAsia="等线" w:hAnsi="等线" w:hint="eastAsia"/>
                <w:color w:val="000000"/>
                <w:sz w:val="22"/>
              </w:rPr>
              <w:t>于欢</w:t>
            </w:r>
            <w:proofErr w:type="gramEnd"/>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全球价值链嵌入、数字经济与中国制造业高质量发展研究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经济与管理学院</w:t>
            </w:r>
          </w:p>
        </w:tc>
        <w:tc>
          <w:tcPr>
            <w:tcW w:w="12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张涛</w:t>
            </w:r>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双重风险驱动下物流企业运营效率研究：跨组织资源整合机制与管理控制匹配视角</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经济与管理学院</w:t>
            </w:r>
          </w:p>
        </w:tc>
        <w:tc>
          <w:tcPr>
            <w:tcW w:w="12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李奇璘</w:t>
            </w:r>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新形势下实体经济金融化问题研究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经济与管理学院</w:t>
            </w:r>
          </w:p>
        </w:tc>
        <w:tc>
          <w:tcPr>
            <w:tcW w:w="1200" w:type="dxa"/>
            <w:shd w:val="clear" w:color="auto" w:fill="auto"/>
            <w:vAlign w:val="center"/>
          </w:tcPr>
          <w:p w:rsidR="00DE69D1" w:rsidRDefault="00DE69D1" w:rsidP="00E94E87">
            <w:pPr>
              <w:jc w:val="center"/>
              <w:rPr>
                <w:rFonts w:ascii="等线" w:eastAsia="等线" w:hAnsi="等线"/>
                <w:color w:val="000000"/>
                <w:sz w:val="22"/>
              </w:rPr>
            </w:pPr>
            <w:proofErr w:type="gramStart"/>
            <w:r>
              <w:rPr>
                <w:rFonts w:ascii="等线" w:eastAsia="等线" w:hAnsi="等线" w:hint="eastAsia"/>
                <w:color w:val="000000"/>
                <w:sz w:val="22"/>
              </w:rPr>
              <w:t>张兆慧</w:t>
            </w:r>
            <w:proofErr w:type="gramEnd"/>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企业战略差异与过度投资</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经济与管理学院</w:t>
            </w:r>
          </w:p>
        </w:tc>
        <w:tc>
          <w:tcPr>
            <w:tcW w:w="12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王晓君</w:t>
            </w:r>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财税供给政策对研发创新的效果研究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马克思主义学院</w:t>
            </w:r>
          </w:p>
        </w:tc>
        <w:tc>
          <w:tcPr>
            <w:tcW w:w="12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樊熙奇</w:t>
            </w:r>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当代西方左翼思想中的共同体理论研究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p>
        </w:tc>
        <w:tc>
          <w:tcPr>
            <w:tcW w:w="98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文理学部</w:t>
            </w:r>
          </w:p>
        </w:tc>
        <w:tc>
          <w:tcPr>
            <w:tcW w:w="12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张燕</w:t>
            </w:r>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以GABA为靶标的</w:t>
            </w:r>
            <w:proofErr w:type="gramStart"/>
            <w:r>
              <w:rPr>
                <w:rFonts w:ascii="等线" w:eastAsia="等线" w:hAnsi="等线" w:hint="eastAsia"/>
                <w:color w:val="000000"/>
                <w:sz w:val="22"/>
              </w:rPr>
              <w:t>新型间胺</w:t>
            </w:r>
            <w:proofErr w:type="gramEnd"/>
            <w:r>
              <w:rPr>
                <w:rFonts w:ascii="等线" w:eastAsia="等线" w:hAnsi="等线" w:hint="eastAsia"/>
                <w:color w:val="000000"/>
                <w:sz w:val="22"/>
              </w:rPr>
              <w:t>基苯甲酰胺类化合物的设计、合成</w:t>
            </w:r>
            <w:proofErr w:type="gramStart"/>
            <w:r>
              <w:rPr>
                <w:rFonts w:ascii="等线" w:eastAsia="等线" w:hAnsi="等线" w:hint="eastAsia"/>
                <w:color w:val="000000"/>
                <w:sz w:val="22"/>
              </w:rPr>
              <w:t>及构效</w:t>
            </w:r>
            <w:proofErr w:type="gramEnd"/>
            <w:r>
              <w:rPr>
                <w:rFonts w:ascii="等线" w:eastAsia="等线" w:hAnsi="等线" w:hint="eastAsia"/>
                <w:color w:val="000000"/>
                <w:sz w:val="22"/>
              </w:rPr>
              <w:t>关系研究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16</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文理学部</w:t>
            </w:r>
          </w:p>
        </w:tc>
        <w:tc>
          <w:tcPr>
            <w:tcW w:w="12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吴洪斌</w:t>
            </w:r>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宋代博物知识研究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17</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文理学部</w:t>
            </w:r>
          </w:p>
        </w:tc>
        <w:tc>
          <w:tcPr>
            <w:tcW w:w="1200" w:type="dxa"/>
            <w:shd w:val="clear" w:color="auto" w:fill="auto"/>
            <w:vAlign w:val="center"/>
          </w:tcPr>
          <w:p w:rsidR="00DE69D1" w:rsidRDefault="00DE69D1" w:rsidP="00E94E87">
            <w:pPr>
              <w:jc w:val="center"/>
              <w:rPr>
                <w:rFonts w:ascii="等线" w:eastAsia="等线" w:hAnsi="等线"/>
                <w:color w:val="000000"/>
                <w:sz w:val="22"/>
              </w:rPr>
            </w:pPr>
            <w:proofErr w:type="gramStart"/>
            <w:r>
              <w:rPr>
                <w:rFonts w:ascii="等线" w:eastAsia="等线" w:hAnsi="等线" w:hint="eastAsia"/>
                <w:color w:val="000000"/>
                <w:sz w:val="22"/>
              </w:rPr>
              <w:t>高红豪</w:t>
            </w:r>
            <w:proofErr w:type="gramEnd"/>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明清时期品第文学研究</w:t>
            </w:r>
          </w:p>
        </w:tc>
      </w:tr>
      <w:tr w:rsidR="00DE69D1" w:rsidRPr="004E107F" w:rsidTr="00E94E87">
        <w:trPr>
          <w:trHeight w:val="540"/>
          <w:jc w:val="center"/>
        </w:trPr>
        <w:tc>
          <w:tcPr>
            <w:tcW w:w="980" w:type="dxa"/>
            <w:vAlign w:val="center"/>
          </w:tcPr>
          <w:p w:rsidR="00DE69D1" w:rsidRPr="004E107F" w:rsidRDefault="00DE69D1" w:rsidP="00E94E8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w:t>
            </w:r>
          </w:p>
        </w:tc>
        <w:tc>
          <w:tcPr>
            <w:tcW w:w="980" w:type="dxa"/>
            <w:shd w:val="clear" w:color="auto" w:fill="auto"/>
            <w:vAlign w:val="center"/>
          </w:tcPr>
          <w:p w:rsidR="00DE69D1" w:rsidRDefault="00DE69D1" w:rsidP="00E94E87">
            <w:pPr>
              <w:jc w:val="left"/>
              <w:rPr>
                <w:rFonts w:ascii="等线" w:eastAsia="等线" w:hAnsi="等线"/>
                <w:color w:val="000000"/>
                <w:sz w:val="22"/>
              </w:rPr>
            </w:pPr>
            <w:r>
              <w:rPr>
                <w:rFonts w:ascii="等线" w:eastAsia="等线" w:hAnsi="等线" w:hint="eastAsia"/>
                <w:color w:val="000000"/>
                <w:sz w:val="22"/>
              </w:rPr>
              <w:t>文理学部</w:t>
            </w:r>
          </w:p>
        </w:tc>
        <w:tc>
          <w:tcPr>
            <w:tcW w:w="12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朱小超</w:t>
            </w:r>
          </w:p>
        </w:tc>
        <w:tc>
          <w:tcPr>
            <w:tcW w:w="4100" w:type="dxa"/>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课程</w:t>
            </w:r>
            <w:proofErr w:type="gramStart"/>
            <w:r>
              <w:rPr>
                <w:rFonts w:ascii="等线" w:eastAsia="等线" w:hAnsi="等线" w:hint="eastAsia"/>
                <w:color w:val="000000"/>
                <w:sz w:val="22"/>
              </w:rPr>
              <w:t>思政视角下大学</w:t>
            </w:r>
            <w:proofErr w:type="gramEnd"/>
            <w:r>
              <w:rPr>
                <w:rFonts w:ascii="等线" w:eastAsia="等线" w:hAnsi="等线" w:hint="eastAsia"/>
                <w:color w:val="000000"/>
                <w:sz w:val="22"/>
              </w:rPr>
              <w:t>英语教材价值体系建构研究</w:t>
            </w:r>
          </w:p>
        </w:tc>
      </w:tr>
    </w:tbl>
    <w:p w:rsidR="00DE69D1" w:rsidRPr="004E107F" w:rsidRDefault="00DE69D1" w:rsidP="00DE69D1">
      <w:pPr>
        <w:ind w:firstLine="420"/>
        <w:jc w:val="left"/>
        <w:rPr>
          <w:sz w:val="28"/>
          <w:szCs w:val="28"/>
        </w:rPr>
      </w:pPr>
      <w:r w:rsidRPr="004E107F">
        <w:rPr>
          <w:rFonts w:hint="eastAsia"/>
          <w:sz w:val="28"/>
          <w:szCs w:val="28"/>
        </w:rPr>
        <w:t>2</w:t>
      </w:r>
      <w:r w:rsidRPr="004E107F">
        <w:rPr>
          <w:rFonts w:hint="eastAsia"/>
          <w:sz w:val="28"/>
          <w:szCs w:val="28"/>
        </w:rPr>
        <w:t>、</w:t>
      </w:r>
      <w:r>
        <w:rPr>
          <w:rFonts w:hint="eastAsia"/>
          <w:sz w:val="28"/>
          <w:szCs w:val="28"/>
        </w:rPr>
        <w:t>国家自然科学基金</w:t>
      </w:r>
      <w:r>
        <w:rPr>
          <w:sz w:val="28"/>
          <w:szCs w:val="28"/>
        </w:rPr>
        <w:t>预研项目</w:t>
      </w:r>
    </w:p>
    <w:tbl>
      <w:tblPr>
        <w:tblW w:w="7260" w:type="dxa"/>
        <w:jc w:val="center"/>
        <w:tblLook w:val="04A0" w:firstRow="1" w:lastRow="0" w:firstColumn="1" w:lastColumn="0" w:noHBand="0" w:noVBand="1"/>
      </w:tblPr>
      <w:tblGrid>
        <w:gridCol w:w="980"/>
        <w:gridCol w:w="980"/>
        <w:gridCol w:w="1200"/>
        <w:gridCol w:w="4100"/>
      </w:tblGrid>
      <w:tr w:rsidR="00DE69D1" w:rsidRPr="004E107F" w:rsidTr="00E94E87">
        <w:trPr>
          <w:trHeight w:val="540"/>
          <w:tblHeader/>
          <w:jc w:val="center"/>
        </w:trPr>
        <w:tc>
          <w:tcPr>
            <w:tcW w:w="980" w:type="dxa"/>
            <w:tcBorders>
              <w:top w:val="single" w:sz="4" w:space="0" w:color="auto"/>
              <w:left w:val="single" w:sz="4" w:space="0" w:color="auto"/>
              <w:bottom w:val="single" w:sz="4" w:space="0" w:color="auto"/>
              <w:right w:val="single" w:sz="4" w:space="0" w:color="auto"/>
            </w:tcBorders>
            <w:vAlign w:val="center"/>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序号</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负责人</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部门</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项目名称</w:t>
            </w:r>
          </w:p>
        </w:tc>
      </w:tr>
      <w:tr w:rsidR="00DE69D1" w:rsidRPr="004E107F" w:rsidTr="00E94E87">
        <w:trPr>
          <w:trHeight w:val="540"/>
          <w:jc w:val="center"/>
        </w:trPr>
        <w:tc>
          <w:tcPr>
            <w:tcW w:w="980" w:type="dxa"/>
            <w:tcBorders>
              <w:top w:val="nil"/>
              <w:left w:val="single" w:sz="4" w:space="0" w:color="auto"/>
              <w:bottom w:val="single" w:sz="4" w:space="0" w:color="auto"/>
              <w:right w:val="single" w:sz="4" w:space="0" w:color="auto"/>
            </w:tcBorders>
            <w:vAlign w:val="center"/>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1</w:t>
            </w:r>
          </w:p>
        </w:tc>
        <w:tc>
          <w:tcPr>
            <w:tcW w:w="980" w:type="dxa"/>
            <w:tcBorders>
              <w:top w:val="nil"/>
              <w:left w:val="single" w:sz="4" w:space="0" w:color="auto"/>
              <w:bottom w:val="single" w:sz="4" w:space="0" w:color="auto"/>
              <w:right w:val="single" w:sz="4" w:space="0" w:color="auto"/>
            </w:tcBorders>
            <w:shd w:val="clear" w:color="auto" w:fill="auto"/>
            <w:vAlign w:val="center"/>
          </w:tcPr>
          <w:p w:rsidR="00DE69D1" w:rsidRDefault="00DE69D1" w:rsidP="00E94E87">
            <w:pPr>
              <w:widowControl/>
              <w:jc w:val="center"/>
              <w:rPr>
                <w:rFonts w:ascii="等线" w:eastAsia="等线" w:hAnsi="等线"/>
                <w:color w:val="000000"/>
                <w:sz w:val="22"/>
              </w:rPr>
            </w:pPr>
            <w:r>
              <w:rPr>
                <w:rFonts w:ascii="等线" w:eastAsia="等线" w:hAnsi="等线" w:hint="eastAsia"/>
                <w:color w:val="000000"/>
                <w:sz w:val="22"/>
              </w:rPr>
              <w:t>文理学部</w:t>
            </w:r>
          </w:p>
        </w:tc>
        <w:tc>
          <w:tcPr>
            <w:tcW w:w="1200" w:type="dxa"/>
            <w:tcBorders>
              <w:top w:val="nil"/>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张海娟</w:t>
            </w:r>
          </w:p>
        </w:tc>
        <w:tc>
          <w:tcPr>
            <w:tcW w:w="4100" w:type="dxa"/>
            <w:tcBorders>
              <w:top w:val="nil"/>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运用多种超快时间分辨技术研究光诱导隐态动力学机制</w:t>
            </w:r>
          </w:p>
        </w:tc>
      </w:tr>
      <w:tr w:rsidR="00DE69D1" w:rsidRPr="004E107F" w:rsidTr="00E94E87">
        <w:trPr>
          <w:trHeight w:val="540"/>
          <w:jc w:val="center"/>
        </w:trPr>
        <w:tc>
          <w:tcPr>
            <w:tcW w:w="980" w:type="dxa"/>
            <w:tcBorders>
              <w:top w:val="nil"/>
              <w:left w:val="single" w:sz="4" w:space="0" w:color="auto"/>
              <w:bottom w:val="single" w:sz="4" w:space="0" w:color="auto"/>
              <w:right w:val="single" w:sz="4" w:space="0" w:color="auto"/>
            </w:tcBorders>
            <w:vAlign w:val="center"/>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2</w:t>
            </w:r>
          </w:p>
        </w:tc>
        <w:tc>
          <w:tcPr>
            <w:tcW w:w="980" w:type="dxa"/>
            <w:tcBorders>
              <w:top w:val="nil"/>
              <w:left w:val="single" w:sz="4" w:space="0" w:color="auto"/>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工程训练中心</w:t>
            </w:r>
          </w:p>
        </w:tc>
        <w:tc>
          <w:tcPr>
            <w:tcW w:w="1200" w:type="dxa"/>
            <w:tcBorders>
              <w:top w:val="nil"/>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proofErr w:type="gramStart"/>
            <w:r>
              <w:rPr>
                <w:rFonts w:ascii="等线" w:eastAsia="等线" w:hAnsi="等线" w:hint="eastAsia"/>
                <w:color w:val="000000"/>
                <w:sz w:val="22"/>
              </w:rPr>
              <w:t>康亮</w:t>
            </w:r>
            <w:proofErr w:type="gramEnd"/>
          </w:p>
        </w:tc>
        <w:tc>
          <w:tcPr>
            <w:tcW w:w="4100" w:type="dxa"/>
            <w:tcBorders>
              <w:top w:val="nil"/>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群体机器人寻优问题的量子智能算法研究</w:t>
            </w:r>
          </w:p>
        </w:tc>
      </w:tr>
      <w:tr w:rsidR="00DE69D1" w:rsidRPr="004E107F" w:rsidTr="00E94E87">
        <w:trPr>
          <w:trHeight w:val="540"/>
          <w:jc w:val="center"/>
        </w:trPr>
        <w:tc>
          <w:tcPr>
            <w:tcW w:w="980" w:type="dxa"/>
            <w:tcBorders>
              <w:top w:val="nil"/>
              <w:left w:val="single" w:sz="4" w:space="0" w:color="auto"/>
              <w:bottom w:val="single" w:sz="4" w:space="0" w:color="auto"/>
              <w:right w:val="single" w:sz="4" w:space="0" w:color="auto"/>
            </w:tcBorders>
            <w:vAlign w:val="center"/>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3</w:t>
            </w:r>
          </w:p>
        </w:tc>
        <w:tc>
          <w:tcPr>
            <w:tcW w:w="980" w:type="dxa"/>
            <w:tcBorders>
              <w:top w:val="nil"/>
              <w:left w:val="single" w:sz="4" w:space="0" w:color="auto"/>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工程训练中心</w:t>
            </w:r>
          </w:p>
        </w:tc>
        <w:tc>
          <w:tcPr>
            <w:tcW w:w="1200" w:type="dxa"/>
            <w:tcBorders>
              <w:top w:val="nil"/>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石磊</w:t>
            </w:r>
          </w:p>
        </w:tc>
        <w:tc>
          <w:tcPr>
            <w:tcW w:w="4100" w:type="dxa"/>
            <w:tcBorders>
              <w:top w:val="nil"/>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proofErr w:type="spellStart"/>
            <w:r>
              <w:rPr>
                <w:rFonts w:ascii="等线" w:eastAsia="等线" w:hAnsi="等线" w:hint="eastAsia"/>
                <w:color w:val="000000"/>
                <w:sz w:val="22"/>
              </w:rPr>
              <w:t>SiC</w:t>
            </w:r>
            <w:proofErr w:type="spellEnd"/>
            <w:r>
              <w:rPr>
                <w:rFonts w:ascii="等线" w:eastAsia="等线" w:hAnsi="等线" w:hint="eastAsia"/>
                <w:color w:val="000000"/>
                <w:sz w:val="22"/>
              </w:rPr>
              <w:t>基微波功率器件中陷阱俘获与释放电子导致性能退化与恢复的机理研究</w:t>
            </w:r>
          </w:p>
        </w:tc>
      </w:tr>
      <w:tr w:rsidR="00DE69D1" w:rsidRPr="004E107F" w:rsidTr="00E94E87">
        <w:trPr>
          <w:trHeight w:val="540"/>
          <w:jc w:val="center"/>
        </w:trPr>
        <w:tc>
          <w:tcPr>
            <w:tcW w:w="980" w:type="dxa"/>
            <w:tcBorders>
              <w:top w:val="nil"/>
              <w:left w:val="single" w:sz="4" w:space="0" w:color="auto"/>
              <w:bottom w:val="single" w:sz="4" w:space="0" w:color="auto"/>
              <w:right w:val="single" w:sz="4" w:space="0" w:color="auto"/>
            </w:tcBorders>
            <w:vAlign w:val="center"/>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4</w:t>
            </w:r>
          </w:p>
        </w:tc>
        <w:tc>
          <w:tcPr>
            <w:tcW w:w="980" w:type="dxa"/>
            <w:tcBorders>
              <w:top w:val="nil"/>
              <w:left w:val="single" w:sz="4" w:space="0" w:color="auto"/>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工学部</w:t>
            </w:r>
          </w:p>
        </w:tc>
        <w:tc>
          <w:tcPr>
            <w:tcW w:w="1200" w:type="dxa"/>
            <w:tcBorders>
              <w:top w:val="nil"/>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李庆梅</w:t>
            </w:r>
          </w:p>
        </w:tc>
        <w:tc>
          <w:tcPr>
            <w:tcW w:w="4100" w:type="dxa"/>
            <w:tcBorders>
              <w:top w:val="nil"/>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智能制造系统的预测性维护研究</w:t>
            </w:r>
          </w:p>
        </w:tc>
      </w:tr>
      <w:tr w:rsidR="00DE69D1" w:rsidRPr="004E107F" w:rsidTr="00E94E87">
        <w:trPr>
          <w:trHeight w:val="540"/>
          <w:jc w:val="center"/>
        </w:trPr>
        <w:tc>
          <w:tcPr>
            <w:tcW w:w="980" w:type="dxa"/>
            <w:tcBorders>
              <w:top w:val="single" w:sz="4" w:space="0" w:color="auto"/>
              <w:left w:val="single" w:sz="4" w:space="0" w:color="auto"/>
              <w:bottom w:val="single" w:sz="4" w:space="0" w:color="auto"/>
              <w:right w:val="single" w:sz="4" w:space="0" w:color="auto"/>
            </w:tcBorders>
            <w:vAlign w:val="center"/>
          </w:tcPr>
          <w:p w:rsidR="00DE69D1" w:rsidRPr="004E107F" w:rsidRDefault="00DE69D1" w:rsidP="00E94E87">
            <w:pPr>
              <w:widowControl/>
              <w:jc w:val="center"/>
              <w:rPr>
                <w:rFonts w:ascii="宋体" w:hAnsi="宋体" w:cs="宋体"/>
                <w:kern w:val="0"/>
                <w:sz w:val="22"/>
              </w:rPr>
            </w:pPr>
            <w:r w:rsidRPr="004E107F">
              <w:rPr>
                <w:rFonts w:ascii="宋体" w:hAnsi="宋体" w:cs="宋体" w:hint="eastAsia"/>
                <w:kern w:val="0"/>
                <w:sz w:val="22"/>
              </w:rPr>
              <w:t>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工学部</w:t>
            </w:r>
          </w:p>
        </w:tc>
        <w:tc>
          <w:tcPr>
            <w:tcW w:w="1200" w:type="dxa"/>
            <w:tcBorders>
              <w:top w:val="single" w:sz="4" w:space="0" w:color="auto"/>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陈建</w:t>
            </w:r>
          </w:p>
        </w:tc>
        <w:tc>
          <w:tcPr>
            <w:tcW w:w="4100" w:type="dxa"/>
            <w:tcBorders>
              <w:top w:val="single" w:sz="4" w:space="0" w:color="auto"/>
              <w:left w:val="nil"/>
              <w:bottom w:val="single" w:sz="4" w:space="0" w:color="auto"/>
              <w:right w:val="single" w:sz="4" w:space="0" w:color="auto"/>
            </w:tcBorders>
            <w:shd w:val="clear" w:color="auto" w:fill="auto"/>
            <w:vAlign w:val="center"/>
          </w:tcPr>
          <w:p w:rsidR="00DE69D1" w:rsidRDefault="00DE69D1" w:rsidP="00E94E87">
            <w:pPr>
              <w:jc w:val="center"/>
              <w:rPr>
                <w:rFonts w:ascii="等线" w:eastAsia="等线" w:hAnsi="等线"/>
                <w:color w:val="000000"/>
                <w:sz w:val="22"/>
              </w:rPr>
            </w:pPr>
            <w:r>
              <w:rPr>
                <w:rFonts w:ascii="等线" w:eastAsia="等线" w:hAnsi="等线" w:hint="eastAsia"/>
                <w:color w:val="000000"/>
                <w:sz w:val="22"/>
              </w:rPr>
              <w:t>多源异构融合导航关键技术研究</w:t>
            </w:r>
          </w:p>
        </w:tc>
      </w:tr>
    </w:tbl>
    <w:p w:rsidR="00AA38D1" w:rsidRPr="00DE69D1" w:rsidRDefault="00AA38D1"/>
    <w:sectPr w:rsidR="00AA38D1" w:rsidRPr="00DE6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16" w:rsidRDefault="00230516" w:rsidP="00DE69D1">
      <w:r>
        <w:separator/>
      </w:r>
    </w:p>
  </w:endnote>
  <w:endnote w:type="continuationSeparator" w:id="0">
    <w:p w:rsidR="00230516" w:rsidRDefault="00230516" w:rsidP="00DE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16" w:rsidRDefault="00230516" w:rsidP="00DE69D1">
      <w:r>
        <w:separator/>
      </w:r>
    </w:p>
  </w:footnote>
  <w:footnote w:type="continuationSeparator" w:id="0">
    <w:p w:rsidR="00230516" w:rsidRDefault="00230516" w:rsidP="00DE6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D6"/>
    <w:rsid w:val="00230516"/>
    <w:rsid w:val="004428D6"/>
    <w:rsid w:val="00AA38D1"/>
    <w:rsid w:val="00DE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69D1"/>
    <w:rPr>
      <w:sz w:val="18"/>
      <w:szCs w:val="18"/>
    </w:rPr>
  </w:style>
  <w:style w:type="paragraph" w:styleId="a4">
    <w:name w:val="footer"/>
    <w:basedOn w:val="a"/>
    <w:link w:val="Char0"/>
    <w:uiPriority w:val="99"/>
    <w:unhideWhenUsed/>
    <w:rsid w:val="00DE69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69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69D1"/>
    <w:rPr>
      <w:sz w:val="18"/>
      <w:szCs w:val="18"/>
    </w:rPr>
  </w:style>
  <w:style w:type="paragraph" w:styleId="a4">
    <w:name w:val="footer"/>
    <w:basedOn w:val="a"/>
    <w:link w:val="Char0"/>
    <w:uiPriority w:val="99"/>
    <w:unhideWhenUsed/>
    <w:rsid w:val="00DE69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69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747</Characters>
  <Application>Microsoft Office Word</Application>
  <DocSecurity>0</DocSecurity>
  <Lines>6</Lines>
  <Paragraphs>1</Paragraphs>
  <ScaleCrop>false</ScaleCrop>
  <Company>Microsoft</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李霞</dc:creator>
  <cp:keywords/>
  <dc:description/>
  <cp:lastModifiedBy>李霞</cp:lastModifiedBy>
  <cp:revision>2</cp:revision>
  <dcterms:created xsi:type="dcterms:W3CDTF">2022-08-25T02:38:00Z</dcterms:created>
  <dcterms:modified xsi:type="dcterms:W3CDTF">2022-08-25T02:39:00Z</dcterms:modified>
</cp:coreProperties>
</file>